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9E82" w14:textId="4066BB33" w:rsid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</w:pP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Stanisław</w:t>
      </w:r>
      <w:r w:rsidR="0052506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Lem</w:t>
      </w:r>
    </w:p>
    <w:p w14:paraId="55D1F0AB" w14:textId="6BE40AB4" w:rsidR="005C001F" w:rsidRP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Przyjaciel</w:t>
      </w:r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Automateusza</w:t>
      </w:r>
      <w:proofErr w:type="spellEnd"/>
      <w:r>
        <w:rPr>
          <w:rStyle w:val="Odwoanieprzypisudolnego"/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footnoteReference w:id="1"/>
      </w:r>
    </w:p>
    <w:p w14:paraId="741ED8A0" w14:textId="4FB5A03B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Pewien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robot,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wyruszyć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daleką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niebezpieczną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posłyszał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pożytecznym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urządzeniu,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elektrycznym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przyjacielem.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Pomyślał,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raźniej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duszy,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otrzyma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towarzysza,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choćby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miała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maszyna,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udał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poprosił,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opowiedział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sztucznym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przyjacielu.</w:t>
      </w:r>
    </w:p>
    <w:p w14:paraId="429D18C3" w14:textId="3F881791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Służę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wiadomo,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bajkach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„tykają”,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nawet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smoków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tytułuje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panami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jedynie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trzeba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odzywać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liczbie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mnogiej.)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mówiąc,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wyjął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kieszeni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garść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metalowych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ziarenek,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drobnego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śrutu.</w:t>
      </w:r>
    </w:p>
    <w:p w14:paraId="730ABCC5" w14:textId="6369DC9D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zdziwił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robot.</w:t>
      </w:r>
    </w:p>
    <w:p w14:paraId="6A2C48B6" w14:textId="70BE9B7E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nazywasz,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zapomniałem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zapytać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właściwym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miejscu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spytał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</w:p>
    <w:p w14:paraId="1E611CDD" w14:textId="69119C8B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Nazywam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</w:p>
    <w:p w14:paraId="6B883AFB" w14:textId="036C625E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długie,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nazywał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Automkiem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</w:p>
    <w:p w14:paraId="4628D08B" w14:textId="33EE429D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Automasza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tamten.</w:t>
      </w:r>
    </w:p>
    <w:p w14:paraId="01E75720" w14:textId="5EF5A928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zatem,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zacny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Automku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sobą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garść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elektroprzyjaciół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Musisz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powołania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specjalizacji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miniaturyzatorem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znaczy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urządzenia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ciężkie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zmieniam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małe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przenośne.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Każde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ziarenko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koncentratem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elektrycznego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myślenia,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niezmiernie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wszechstronnym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rozumnym.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geniusz,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przesada,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fałszywej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reklamy.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prawda,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zamiarem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stworzyć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elektrycznych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geniuszów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spocznę,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póki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zrobię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malutkich,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nosić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kieszeni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tysiące;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dopiero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wsypię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worków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sprzedawał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piasek,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dopnę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wymarzonego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celu.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mniejsza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plany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przyszłość.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sprzedaję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elektroprzyjaciół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sztuki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niedrogo: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biorę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zaważy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brylantach.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Przyznasz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chyba,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umiarkowana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cena,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wziąwszy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elektroprzyjaciela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włożyć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ucha,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szeptał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służył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wszelką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informacją.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kawałek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miękkiej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waty,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zatkasz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ucho,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przyjaciel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wypadł,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skłonisz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głowę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bok.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bierzesz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Gdybyś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reflektował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tuzin,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mógłbym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odstąpić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taniej...</w:t>
      </w:r>
    </w:p>
    <w:p w14:paraId="4E1F34D8" w14:textId="0EB3B5AA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wystarczy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jeden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chciałbym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jeszcze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właściwie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spodziewać?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potrafi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dopomóc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ciężkiej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sytuacji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życiowej?</w:t>
      </w:r>
    </w:p>
    <w:p w14:paraId="5A7F8AD1" w14:textId="59934C1C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Jasne,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pogodnie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Podrzucił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dłoni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garść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ziaren,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lśniących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metalicznie,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sporządzone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rzadkich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metali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ciągnął: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Oczywiście,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liczyć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pomoc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sensie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fizycznym,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chodzi.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Pokrzepiające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uwagi,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dobre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bystre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rady,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rozsądne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refleksje,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korzystne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ciebie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wskazania,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napomnienia,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przestrogi,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również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otuchy,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sentencje,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dodające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własne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siły,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głębokie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myśli,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pozwalające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sprostać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każdej,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jakiejkolwiek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trudnej,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nawet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groźnej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sytuacji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drobna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część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repertuaru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elektroprzyjaciół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absolutnie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oddani,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wierni,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przytomni,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nigdy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śpią,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trwali,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widzisz,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poręczni!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bierzesz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jednego?</w:t>
      </w:r>
    </w:p>
    <w:p w14:paraId="2275F754" w14:textId="0117B4F2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Powiedz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jeszcze,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proszę,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jeżeli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ktoś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ukradnie?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wróci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doprowadzi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złodzieja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zguby?</w:t>
      </w:r>
    </w:p>
    <w:p w14:paraId="42C9EF15" w14:textId="5161903A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odrzekł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służył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pilnie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wiernie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poprzednio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tobie.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wymagać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zbyt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Automku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opuści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biedzie,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opuścisz.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grozi,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jeżeli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włożysz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ucha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będziesz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zawsze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zatkane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watą...</w:t>
      </w:r>
    </w:p>
    <w:p w14:paraId="768DA3E1" w14:textId="54B91D51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zgodził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mówić?</w:t>
      </w:r>
    </w:p>
    <w:p w14:paraId="66C461B0" w14:textId="0442C589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Wcale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musisz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wystarczy,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abyś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bezdźwięcznie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wyszeptał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cokolwiek,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usłyszy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doskonale.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imienia,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Wuch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doń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„mój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Wuchu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”,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wystarczy.</w:t>
      </w:r>
    </w:p>
    <w:p w14:paraId="56893569" w14:textId="01381216" w:rsid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Doskonale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—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odparł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Automateusz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</w:p>
    <w:p w14:paraId="720ABD10" w14:textId="1D63268C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Zważyli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Wucha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wynalazca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otrzymał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zań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ładny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brylancik,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robot,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uspokojony,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już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towarzysza,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bliską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duszę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daleką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drogę,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ruszył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siebie.</w:t>
      </w:r>
    </w:p>
    <w:p w14:paraId="2A48D871" w14:textId="19F6340A" w:rsid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</w:pP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Stanisław</w:t>
      </w:r>
      <w:r w:rsidR="0052506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Helvetica" w:eastAsia="Times New Roman" w:hAnsi="Helvetica" w:cs="Helvetica"/>
          <w:b/>
          <w:bCs/>
          <w:color w:val="1B1B1B"/>
          <w:sz w:val="24"/>
          <w:szCs w:val="24"/>
          <w:lang w:eastAsia="pl-PL"/>
        </w:rPr>
        <w:t>Lem</w:t>
      </w:r>
    </w:p>
    <w:p w14:paraId="345C1738" w14:textId="4B49CDDF" w:rsidR="005C001F" w:rsidRPr="005C001F" w:rsidRDefault="005C001F" w:rsidP="005C001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Król</w:t>
      </w:r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Globares</w:t>
      </w:r>
      <w:proofErr w:type="spellEnd"/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t>mędrcy</w:t>
      </w:r>
      <w:r>
        <w:rPr>
          <w:rStyle w:val="Odwoanieprzypisudolnego"/>
          <w:rFonts w:ascii="Garamond" w:eastAsia="Times New Roman" w:hAnsi="Garamond" w:cs="Helvetica"/>
          <w:b/>
          <w:bCs/>
          <w:color w:val="1B1B1B"/>
          <w:sz w:val="24"/>
          <w:szCs w:val="24"/>
          <w:lang w:eastAsia="pl-PL"/>
        </w:rPr>
        <w:footnoteReference w:id="2"/>
      </w:r>
    </w:p>
    <w:p w14:paraId="4BF380FB" w14:textId="36B058FA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Patrz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słuchaj!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Wszystko,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istnieje,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przedmiotem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drwin.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[...]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jednak,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przedmiotem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kpin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królestwo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życia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śmierci,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małe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wielkie,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coś,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nikt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dotąd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ośmielił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wyszydzić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ani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wyśmiać.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należy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rzędu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dałoby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zapomnieć,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ujść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uwagi,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albowiem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idzie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wszystko,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istnieje,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znaczy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Jeżeli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zastanowisz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pojmiesz,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bardzo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śmieszny...</w:t>
      </w:r>
    </w:p>
    <w:p w14:paraId="57A7FB84" w14:textId="77777777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[...]</w:t>
      </w:r>
    </w:p>
    <w:p w14:paraId="6268EB17" w14:textId="0DE3C58B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składa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gwiazd.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Brzmi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poważnie,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rozważymy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głębiej,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trudno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powściągnąć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uśmiechu.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istocie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gwiazdy?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ognistymi,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zawieszonymi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wśród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wiekuistej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nocy.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pozoru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patetyczny.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swą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naturę?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Bynajmniej,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wskutek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rozmiarów.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Rozmiary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przesądzić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wagi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zjawiska.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bazgroły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kretyna,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przeniesione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kartki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rozległą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równinę,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doniosłym?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Głupstwo,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rozmnożone,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przestaje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głupstwem,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potęguje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śmieszność.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Kosmos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bazgranina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wielokropków!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Gdziekolwiek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spojrzeć,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dokądkolwiek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sięgnąć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to!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Monotonia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Kreacji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wydaje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najbardziej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trywialnym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płaskim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konceptem,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sobie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wyobrazić.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Kropkowane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nieskończoność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sprokurowałby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rzecz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niepomysłową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gdyby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należało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dopiero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stworzyć?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Chyba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kretyn.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Wziąć,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proszę,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niezmierzone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obszary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pustki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kropkować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popadnie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budowie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przypisywać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ład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majestatyczność?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Rzuca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kolana?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Chyba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rozpacz,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odwołania.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wynik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autoplagiatu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dokonanego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początku,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początek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kolei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najbezmyślniejszym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aktem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możliwych,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cóż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bowiem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zrobić,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sobą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czystą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kartę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ręku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wiedząc,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najsłabszego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pojęcia,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wypełnić?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Rysunkami?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trzeba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wiedzieć,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narysowania.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uwadze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pozbawionym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cienia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imaginacji?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Cóż,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postawione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mimowolnym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dotknięciem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zrobi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kropkę.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postawiona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stworzy,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bezmyślnym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zapatrzeniu,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towarzyszącym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impotencji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twórczej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wzór,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sugestywny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oprócz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absolutnie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najmniejszym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wysiłkiem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wzór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powtarzać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nieskończoność.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Powtarzać,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mogą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przecież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złożyć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jakąś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konstrukcję.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cóż,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jeśli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może?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pozostaje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innego,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potrząsając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niemocy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piórem,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chlapiąc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kropelkami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atramentu,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wypełniać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oślep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stawianymi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kropkami.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–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Mówiąc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mędrzec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wziął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wielką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kartę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umoczonym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kałamarzu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bryznął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kilkakroć,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dobył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szaty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mapę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nieba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pokazał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drugie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królowi.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Podobieństwo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uderzające.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Miliardy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kropek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widniały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papierze,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większych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mniejszych,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czasem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pióro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chlapało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obficiej,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czasem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schło.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niebo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mapie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przedstawiało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samo.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patrzał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tronu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płachty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papieru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milczał.</w:t>
      </w:r>
    </w:p>
    <w:p w14:paraId="72FFE0E2" w14:textId="38EE38EA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Pierwsze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Bajek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robotów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ukazały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1964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roku.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zestaw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niewielkich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tekstów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rozrastał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wypełniając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zbiory: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robotów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Cyberiadę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twórczości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wyróżniać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połączenie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zabawy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eksperymentu,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choć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jednocześnie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nosi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typowych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znamion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spuścizny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Lema.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Właściwością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determinującą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formę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utworów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połączenie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(baśni)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warstwa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stylistyczna,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zostały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oparte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zostały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zestawianiu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cech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elementów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reprezentujących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różne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tradycje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narracyjnej.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efektem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śmiałego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zespolenia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groteska,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poziomie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zaskakuje,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bawi,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myślenia.</w:t>
      </w:r>
    </w:p>
    <w:p w14:paraId="5D632919" w14:textId="0BEC4A14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Sugerowana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tytuł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zasadniczo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potwierdzana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charakter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kolejnych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tekstów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klasyfikacja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wskazywać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dziecięcego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adresata.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Jednak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tradycje,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utwory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czerpią,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zawartość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niektóre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rozwiązań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dowodzą,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dziecięcy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niekoniecznie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zamierzonym.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(baśń)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gatunek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narracyjny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wywodzi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kultury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ludowej,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obrębie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opowieści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typu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lastRenderedPageBreak/>
        <w:t>pełniły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funkcje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rozrywkowe,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dydaktyczne.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kontekście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kulturowym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stanowiły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część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narracyjnej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tradycji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danej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społeczności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wiązane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dziecięcym.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Proces,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wytworzył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powszechnej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świadomości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związek,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dokonał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późnej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fazie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wielowiekowej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historii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gatunku.</w:t>
      </w:r>
    </w:p>
    <w:p w14:paraId="402C8C9B" w14:textId="6F3E54EF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kolei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jest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kulturze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zjawiskiem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stosunkowo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późnym,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początki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rozpoznaje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zwykle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literaturze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XIX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(wskazując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Julesa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Verne’a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niekiedy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także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wcześniejszego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Frankesteina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Mary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Shelley).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Fantastyczna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natura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oraz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przygodowy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charakter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-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podobnie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przypadku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bajki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-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zawężały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krąg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odbiorców.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Ewolucja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XX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wieku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ukazała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pełnię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możliwości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pokazując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problemową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nośność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efektywność.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Potencjał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zakresie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podejmowanej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problematyki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obejmuje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tylko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zagadnienia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rozwoju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nauki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technologii,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również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dziedziny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filozoficznej,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społeczno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noBreakHyphen/>
        <w:t>kulturowej,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teologicznej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egzystencjalnej.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Pisarstwo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Stanisława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Lema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stanowi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przykład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takiego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ukierunkowania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potwierdzenie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intelektualnych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estetycznych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ambicji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fantastycznonaukowej.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Opowiadania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Bajek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robotów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Cyberiady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zaistniały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styku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obu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wspomnianych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konwencji,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uwidacznia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wszystkich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poziomach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organizacji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utworu.</w:t>
      </w:r>
    </w:p>
    <w:p w14:paraId="081AFF10" w14:textId="6D582049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sferze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języka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narracji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pisarz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połączył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elementy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stylizacji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poetyki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Łagodna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archaizacja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gawędziarski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styl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tworzą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całość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typowym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dla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naukowej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językiem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technologicznego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konkretu,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wykorzystującego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potencjał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neologizmu.</w:t>
      </w:r>
    </w:p>
    <w:p w14:paraId="0EB7B9BE" w14:textId="34E89B3E" w:rsidR="005C001F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sferze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motywy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wątki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(m.in.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wyprawy,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skarby,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smoki,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zabiegi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rękę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księżniczki)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rozwijane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scenografii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użyciu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rekwizytów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zaczerpniętych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science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fiction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(m.in.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planety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cywilizacje,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inteligentne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maszyny,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konstruktorzy,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laboratoria).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Bohaterowie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legitymują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zwykle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zarówno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baśniowym,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fantastycznonaukowym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rodowodem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(maszynowi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królowie,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elektrorycerze</w:t>
      </w:r>
      <w:proofErr w:type="spellEnd"/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konstruktorzy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roli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czarodziejów,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mędrcy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dywagujący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jakości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wszechświata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itd.).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Baśniowa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umowność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świata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przedstawionego,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otwierająca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go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na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wszelkie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nieprawdopodobieństwa,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współistnieje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tekstach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racjonalno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noBreakHyphen/>
        <w:t>naukowymi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rozwiązaniami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fabularnych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konfliktów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abstrakcyjnością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leżących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podstaw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fabuły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koncepcji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(np.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Smoki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prawdopodobieństwa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 xml:space="preserve"> </w:t>
      </w:r>
      <w:proofErr w:type="spellStart"/>
      <w:r w:rsidRPr="005C001F">
        <w:rPr>
          <w:rFonts w:ascii="Garamond" w:eastAsia="Times New Roman" w:hAnsi="Garamond" w:cs="Helvetica"/>
          <w:i/>
          <w:iCs/>
          <w:color w:val="1B1B1B"/>
          <w:sz w:val="24"/>
          <w:szCs w:val="24"/>
          <w:lang w:eastAsia="pl-PL"/>
        </w:rPr>
        <w:t>Cyberiady</w:t>
      </w:r>
      <w:proofErr w:type="spellEnd"/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były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inspirowane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teoriami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zakresu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fizyki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kwantowej).</w:t>
      </w:r>
    </w:p>
    <w:p w14:paraId="22C0B2A3" w14:textId="6A008DCB" w:rsidR="00EA3472" w:rsidRPr="005C001F" w:rsidRDefault="005C001F" w:rsidP="005C001F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</w:pP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sferze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problematyki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powracają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wyzwania,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wątpliwości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niepokoje,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którymi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Lem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zmagał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się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większej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części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swojej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literackiej</w:t>
      </w:r>
      <w:r w:rsidR="0052506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 xml:space="preserve"> </w:t>
      </w:r>
      <w:r w:rsidRPr="005C001F">
        <w:rPr>
          <w:rFonts w:ascii="Garamond" w:eastAsia="Times New Roman" w:hAnsi="Garamond" w:cs="Helvetica"/>
          <w:color w:val="1B1B1B"/>
          <w:sz w:val="24"/>
          <w:szCs w:val="24"/>
          <w:lang w:eastAsia="pl-PL"/>
        </w:rPr>
        <w:t>spuścizny.</w:t>
      </w:r>
    </w:p>
    <w:sectPr w:rsidR="00EA3472" w:rsidRPr="005C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B681D" w14:textId="77777777" w:rsidR="00525AB6" w:rsidRDefault="00525AB6" w:rsidP="005C001F">
      <w:pPr>
        <w:spacing w:after="0" w:line="240" w:lineRule="auto"/>
      </w:pPr>
      <w:r>
        <w:separator/>
      </w:r>
    </w:p>
  </w:endnote>
  <w:endnote w:type="continuationSeparator" w:id="0">
    <w:p w14:paraId="7AD5F6F8" w14:textId="77777777" w:rsidR="00525AB6" w:rsidRDefault="00525AB6" w:rsidP="005C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1C77C" w14:textId="77777777" w:rsidR="00525AB6" w:rsidRDefault="00525AB6" w:rsidP="005C001F">
      <w:pPr>
        <w:spacing w:after="0" w:line="240" w:lineRule="auto"/>
      </w:pPr>
      <w:r>
        <w:separator/>
      </w:r>
    </w:p>
  </w:footnote>
  <w:footnote w:type="continuationSeparator" w:id="0">
    <w:p w14:paraId="65DF54C3" w14:textId="77777777" w:rsidR="00525AB6" w:rsidRDefault="00525AB6" w:rsidP="005C001F">
      <w:pPr>
        <w:spacing w:after="0" w:line="240" w:lineRule="auto"/>
      </w:pPr>
      <w:r>
        <w:continuationSeparator/>
      </w:r>
    </w:p>
  </w:footnote>
  <w:footnote w:id="1">
    <w:p w14:paraId="3AD40FFE" w14:textId="2098AAE5" w:rsidR="005C001F" w:rsidRDefault="005C00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001F">
        <w:t xml:space="preserve">Źródło: Stanisław Lem, </w:t>
      </w:r>
      <w:r w:rsidRPr="005C001F">
        <w:rPr>
          <w:i/>
          <w:iCs/>
        </w:rPr>
        <w:t xml:space="preserve">Przyjaciel </w:t>
      </w:r>
      <w:proofErr w:type="spellStart"/>
      <w:r w:rsidRPr="005C001F">
        <w:rPr>
          <w:i/>
          <w:iCs/>
        </w:rPr>
        <w:t>Automateusza</w:t>
      </w:r>
      <w:proofErr w:type="spellEnd"/>
      <w:r w:rsidRPr="005C001F">
        <w:t xml:space="preserve">, [w:] tegoż, </w:t>
      </w:r>
      <w:proofErr w:type="spellStart"/>
      <w:r w:rsidRPr="005C001F">
        <w:rPr>
          <w:i/>
          <w:iCs/>
        </w:rPr>
        <w:t>Cyberiada</w:t>
      </w:r>
      <w:proofErr w:type="spellEnd"/>
      <w:r w:rsidRPr="005C001F">
        <w:t>, Chotomów 1990, s. 61–62.</w:t>
      </w:r>
    </w:p>
  </w:footnote>
  <w:footnote w:id="2">
    <w:p w14:paraId="7754198C" w14:textId="3F151CC0" w:rsidR="005C001F" w:rsidRDefault="005C00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001F">
        <w:t xml:space="preserve">Źródło: Stanisław Lem, </w:t>
      </w:r>
      <w:r w:rsidRPr="005C001F">
        <w:rPr>
          <w:i/>
          <w:iCs/>
        </w:rPr>
        <w:t xml:space="preserve">Król </w:t>
      </w:r>
      <w:proofErr w:type="spellStart"/>
      <w:r w:rsidRPr="005C001F">
        <w:rPr>
          <w:i/>
          <w:iCs/>
        </w:rPr>
        <w:t>Globares</w:t>
      </w:r>
      <w:proofErr w:type="spellEnd"/>
      <w:r w:rsidRPr="005C001F">
        <w:rPr>
          <w:i/>
          <w:iCs/>
        </w:rPr>
        <w:t xml:space="preserve"> i mędrcy</w:t>
      </w:r>
      <w:r w:rsidRPr="005C001F">
        <w:t xml:space="preserve">, [w:] tegoż, </w:t>
      </w:r>
      <w:proofErr w:type="spellStart"/>
      <w:r w:rsidRPr="005C001F">
        <w:rPr>
          <w:i/>
          <w:iCs/>
        </w:rPr>
        <w:t>Cyberiada</w:t>
      </w:r>
      <w:proofErr w:type="spellEnd"/>
      <w:r w:rsidRPr="005C001F">
        <w:t>, Chotomów 1990, s. 81–83.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F"/>
    <w:rsid w:val="0052506F"/>
    <w:rsid w:val="00525AB6"/>
    <w:rsid w:val="005C001F"/>
    <w:rsid w:val="00EA3472"/>
    <w:rsid w:val="00F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2E13"/>
  <w15:chartTrackingRefBased/>
  <w15:docId w15:val="{9808D890-47B5-48B4-A56C-C624AAA8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001F"/>
    <w:rPr>
      <w:i/>
      <w:iCs/>
    </w:rPr>
  </w:style>
  <w:style w:type="character" w:customStyle="1" w:styleId="sr-only">
    <w:name w:val="sr-only"/>
    <w:basedOn w:val="Domylnaczcionkaakapitu"/>
    <w:rsid w:val="005C001F"/>
  </w:style>
  <w:style w:type="character" w:styleId="Hipercze">
    <w:name w:val="Hyperlink"/>
    <w:basedOn w:val="Domylnaczcionkaakapitu"/>
    <w:uiPriority w:val="99"/>
    <w:semiHidden/>
    <w:unhideWhenUsed/>
    <w:rsid w:val="005C001F"/>
    <w:rPr>
      <w:color w:val="0000FF"/>
      <w:u w:val="single"/>
    </w:rPr>
  </w:style>
  <w:style w:type="character" w:customStyle="1" w:styleId="blockquoteauthor">
    <w:name w:val="blockquote__author"/>
    <w:basedOn w:val="Domylnaczcionkaakapitu"/>
    <w:rsid w:val="005C001F"/>
  </w:style>
  <w:style w:type="character" w:customStyle="1" w:styleId="blockquotetitle">
    <w:name w:val="blockquote__title"/>
    <w:basedOn w:val="Domylnaczcionkaakapitu"/>
    <w:rsid w:val="005C001F"/>
  </w:style>
  <w:style w:type="character" w:customStyle="1" w:styleId="ref--before">
    <w:name w:val="ref--before"/>
    <w:basedOn w:val="Domylnaczcionkaakapitu"/>
    <w:rsid w:val="005C00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0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0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1F77B2"/>
                    <w:bottom w:val="none" w:sz="0" w:space="0" w:color="auto"/>
                    <w:right w:val="none" w:sz="0" w:space="0" w:color="auto"/>
                  </w:divBdr>
                  <w:divsChild>
                    <w:div w:id="5905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7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6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B95C-08BC-40F4-AD67-558ABAC2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1556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Żarowska-Mazur</dc:creator>
  <cp:keywords/>
  <dc:description/>
  <cp:lastModifiedBy>Alicja Żarowska-Mazur</cp:lastModifiedBy>
  <cp:revision>3</cp:revision>
  <dcterms:created xsi:type="dcterms:W3CDTF">2020-07-04T08:13:00Z</dcterms:created>
  <dcterms:modified xsi:type="dcterms:W3CDTF">2020-07-04T08:17:00Z</dcterms:modified>
</cp:coreProperties>
</file>