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366B" w14:textId="134A0FF7" w:rsidR="004A3C5C" w:rsidRPr="004A3C5C" w:rsidRDefault="004A3C5C" w:rsidP="004A3C5C">
      <w:pPr>
        <w:pStyle w:val="NormalnyWeb"/>
        <w:spacing w:after="0" w:afterAutospacing="0" w:line="195" w:lineRule="atLeast"/>
        <w:rPr>
          <w:rFonts w:asciiTheme="minorHAnsi" w:hAnsiTheme="minorHAnsi" w:cstheme="minorHAnsi"/>
          <w:color w:val="222222"/>
          <w:lang w:val="pl-PL"/>
        </w:rPr>
      </w:pPr>
      <w:r w:rsidRPr="004A3C5C">
        <w:rPr>
          <w:rFonts w:asciiTheme="minorHAnsi" w:hAnsiTheme="minorHAnsi" w:cstheme="minorHAnsi"/>
          <w:color w:val="222222"/>
          <w:lang w:val="pl-PL"/>
        </w:rPr>
        <w:t>Czytelnictwo w Polsce wróciło do poziomu sprzed pandemii, trwałego stabilnego powstrzymywania trendu spadkowego czytelnictwa. Odnotowany w 2020 roku niewielki wzrost nie stał się początkiem trendu wzrostowego. Ograniczenia pandemiczne, w tym edukacja szkolna dzieci w domu i praca zdalna, w pierwszym roku pandemii przyniosły nieco większe zainteresowanie czytaniem, w drugim zauważalne zmęczenie.</w:t>
      </w:r>
    </w:p>
    <w:p w14:paraId="4FFBEB27" w14:textId="2B13F5B0" w:rsidR="00B1798E" w:rsidRPr="008B52BA" w:rsidRDefault="004A3C5C" w:rsidP="008B52BA">
      <w:pPr>
        <w:pStyle w:val="NormalnyWeb"/>
        <w:spacing w:after="0" w:afterAutospacing="0" w:line="195" w:lineRule="atLeast"/>
        <w:rPr>
          <w:rFonts w:asciiTheme="minorHAnsi" w:hAnsiTheme="minorHAnsi" w:cstheme="minorHAnsi"/>
          <w:color w:val="222222"/>
          <w:lang w:val="pl-PL"/>
        </w:rPr>
      </w:pPr>
      <w:r w:rsidRPr="004A3C5C">
        <w:rPr>
          <w:rFonts w:asciiTheme="minorHAnsi" w:hAnsiTheme="minorHAnsi" w:cstheme="minorHAnsi"/>
          <w:color w:val="222222"/>
          <w:lang w:val="pl-PL"/>
        </w:rPr>
        <w:t>Ostatnie badanie czytelnictwa zrealizowane zostało w kontekście słabnącej kolejnej fali pandemii COVID 2019 oraz stopniowo znoszonych ograniczeń w funkcjonowaniu instytucji publicznych i zakładów pracy. Był to też czas powrotu do stacjonarnej formy nauczania w szkołach. Dwukrotnie – jesienią 2021 i wiosną 2022 roku – respondenci odpowiadali na pytania o to, jak najchętniej spędziliby wolny dzień. Wśród pożądanych, ale także wśród realizowanych zajęć w wolny listopadowo-grudniowy dzień w 2021 roku i na wiosnę w marcu 2022 roku najważniejsze było oglądanie telewizji, filmów lub seriali. (wykres 1). W następnej kolejności znalazły się spotkania z rodziną lub znajomymi w domu bądź poza domem oraz spacer lub mała wycieczka.</w:t>
      </w:r>
    </w:p>
    <w:p w14:paraId="5A232C17" w14:textId="77777777" w:rsidR="00345790" w:rsidRPr="004A3C5C" w:rsidRDefault="00345790">
      <w:pPr>
        <w:rPr>
          <w:lang w:val="pl-PL"/>
        </w:rPr>
      </w:pPr>
    </w:p>
    <w:sectPr w:rsidR="00345790" w:rsidRPr="004A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8E"/>
    <w:rsid w:val="00345790"/>
    <w:rsid w:val="004A3C5C"/>
    <w:rsid w:val="008B52BA"/>
    <w:rsid w:val="00B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56C7"/>
  <w15:chartTrackingRefBased/>
  <w15:docId w15:val="{39F71940-203F-45FF-AB49-A1BF7194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Ziółkowski</dc:creator>
  <cp:keywords/>
  <dc:description/>
  <cp:lastModifiedBy>Bartosz Ziółkowski</cp:lastModifiedBy>
  <cp:revision>1</cp:revision>
  <dcterms:created xsi:type="dcterms:W3CDTF">2022-06-24T04:32:00Z</dcterms:created>
  <dcterms:modified xsi:type="dcterms:W3CDTF">2022-06-24T05:37:00Z</dcterms:modified>
</cp:coreProperties>
</file>